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0F41" w14:textId="77777777" w:rsidR="001B204F" w:rsidRDefault="00000000" w:rsidP="008D4D26">
      <w:pPr>
        <w:spacing w:after="0" w:line="259" w:lineRule="auto"/>
      </w:pPr>
      <w:r>
        <w:rPr>
          <w:sz w:val="20"/>
        </w:rPr>
        <w:t>MESTNA OBČINA VELENJE</w:t>
      </w:r>
    </w:p>
    <w:p w14:paraId="1B4AE4FE" w14:textId="77777777" w:rsidR="001B204F" w:rsidRDefault="00000000" w:rsidP="008D4D26">
      <w:pPr>
        <w:spacing w:after="0" w:line="259" w:lineRule="auto"/>
        <w:ind w:right="4642"/>
      </w:pPr>
      <w:r>
        <w:rPr>
          <w:sz w:val="16"/>
        </w:rPr>
        <w:t>Titov trg 1</w:t>
      </w:r>
    </w:p>
    <w:p w14:paraId="233F967A" w14:textId="77777777" w:rsidR="001B204F" w:rsidRDefault="00000000" w:rsidP="008D4D26">
      <w:pPr>
        <w:spacing w:after="0" w:line="259" w:lineRule="auto"/>
      </w:pPr>
      <w:r>
        <w:rPr>
          <w:sz w:val="20"/>
        </w:rPr>
        <w:t>3320 VELENJE</w:t>
      </w:r>
    </w:p>
    <w:p w14:paraId="1B5E6A7C" w14:textId="77777777" w:rsidR="001B204F" w:rsidRDefault="00000000">
      <w:pPr>
        <w:spacing w:after="60"/>
        <w:ind w:left="-5"/>
      </w:pPr>
      <w:r>
        <w:t>številka dokumenta: JN.038312023-2</w:t>
      </w:r>
    </w:p>
    <w:p w14:paraId="1027DEE8" w14:textId="102B64EC" w:rsidR="001B204F" w:rsidRDefault="00000000">
      <w:pPr>
        <w:spacing w:after="128"/>
        <w:ind w:left="-5"/>
      </w:pPr>
      <w:r>
        <w:t xml:space="preserve">Datum: </w:t>
      </w:r>
      <w:r w:rsidR="00167A0C">
        <w:t>12</w:t>
      </w:r>
      <w:r>
        <w:t>.06.2023</w:t>
      </w:r>
    </w:p>
    <w:p w14:paraId="649F252C" w14:textId="77777777" w:rsidR="001B204F" w:rsidRDefault="00000000">
      <w:pPr>
        <w:spacing w:after="56" w:line="259" w:lineRule="auto"/>
        <w:ind w:left="-139" w:firstLine="0"/>
      </w:pPr>
      <w:r>
        <w:rPr>
          <w:noProof/>
        </w:rPr>
        <w:drawing>
          <wp:inline distT="0" distB="0" distL="0" distR="0" wp14:anchorId="4F1C06B0" wp14:editId="013974D1">
            <wp:extent cx="5298135" cy="832183"/>
            <wp:effectExtent l="0" t="0" r="0" b="0"/>
            <wp:docPr id="22281" name="Picture 22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1" name="Picture 222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8135" cy="83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20058" w14:textId="77777777" w:rsidR="001B204F" w:rsidRDefault="00000000">
      <w:pPr>
        <w:spacing w:after="132"/>
        <w:ind w:left="-5"/>
      </w:pPr>
      <w:r>
        <w:t>izvedba revizijskih pregledov MOV in JZ (OS Šalek, Ljudska univerza, Rdeča dvorana ŠRZ)</w:t>
      </w:r>
    </w:p>
    <w:p w14:paraId="72B4175E" w14:textId="77777777" w:rsidR="001B204F" w:rsidRDefault="00000000">
      <w:pPr>
        <w:ind w:left="-5"/>
      </w:pPr>
      <w:r>
        <w:t>Naročnik je predvidel, da se bo naročilo izvedlo skladno z načrtovanim terminskim načrtom:</w:t>
      </w:r>
    </w:p>
    <w:tbl>
      <w:tblPr>
        <w:tblStyle w:val="TableGrid"/>
        <w:tblW w:w="8237" w:type="dxa"/>
        <w:tblInd w:w="0" w:type="dxa"/>
        <w:tblCellMar>
          <w:left w:w="91" w:type="dxa"/>
          <w:right w:w="105" w:type="dxa"/>
        </w:tblCellMar>
        <w:tblLook w:val="04A0" w:firstRow="1" w:lastRow="0" w:firstColumn="1" w:lastColumn="0" w:noHBand="0" w:noVBand="1"/>
      </w:tblPr>
      <w:tblGrid>
        <w:gridCol w:w="4348"/>
        <w:gridCol w:w="3889"/>
      </w:tblGrid>
      <w:tr w:rsidR="001B204F" w14:paraId="59EFB937" w14:textId="77777777">
        <w:trPr>
          <w:trHeight w:val="437"/>
        </w:trPr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16478" w14:textId="77777777" w:rsidR="001B204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Stadij postopka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7F1B0" w14:textId="6578EA75" w:rsidR="001B204F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Datum</w:t>
            </w:r>
          </w:p>
        </w:tc>
      </w:tr>
      <w:tr w:rsidR="001B204F" w14:paraId="7EA8DD37" w14:textId="77777777">
        <w:trPr>
          <w:trHeight w:val="436"/>
        </w:trPr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16060" w14:textId="77777777" w:rsidR="001B204F" w:rsidRDefault="00000000">
            <w:pPr>
              <w:spacing w:after="0" w:line="259" w:lineRule="auto"/>
              <w:ind w:firstLine="0"/>
            </w:pPr>
            <w:r>
              <w:t>Rok za postavitev vprašanj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B2435" w14:textId="1D5BFA92" w:rsidR="001B204F" w:rsidRDefault="00000000">
            <w:pPr>
              <w:spacing w:after="0" w:line="259" w:lineRule="auto"/>
              <w:ind w:left="0" w:firstLine="0"/>
              <w:jc w:val="right"/>
            </w:pPr>
            <w:r>
              <w:t xml:space="preserve">do </w:t>
            </w:r>
            <w:r w:rsidR="00167A0C">
              <w:t>15</w:t>
            </w:r>
            <w:r>
              <w:t>.06.2023 do 09:00</w:t>
            </w:r>
          </w:p>
        </w:tc>
      </w:tr>
      <w:tr w:rsidR="001B204F" w14:paraId="6C1B61DE" w14:textId="77777777">
        <w:trPr>
          <w:trHeight w:val="433"/>
        </w:trPr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B90A0" w14:textId="77777777" w:rsidR="001B204F" w:rsidRDefault="00000000">
            <w:pPr>
              <w:spacing w:after="0" w:line="259" w:lineRule="auto"/>
              <w:ind w:firstLine="0"/>
            </w:pPr>
            <w:r>
              <w:t>Rok za predložitev ponudb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81787" w14:textId="6D7078BB" w:rsidR="001B204F" w:rsidRDefault="00000000">
            <w:pPr>
              <w:spacing w:after="0" w:line="259" w:lineRule="auto"/>
              <w:ind w:left="0" w:firstLine="0"/>
              <w:jc w:val="right"/>
            </w:pPr>
            <w:r>
              <w:t xml:space="preserve">do </w:t>
            </w:r>
            <w:r w:rsidR="00167A0C">
              <w:t>16</w:t>
            </w:r>
            <w:r>
              <w:t>.06.2023 do 09:00</w:t>
            </w:r>
          </w:p>
        </w:tc>
      </w:tr>
    </w:tbl>
    <w:p w14:paraId="71867AF4" w14:textId="77777777" w:rsidR="001B204F" w:rsidRDefault="00000000">
      <w:pPr>
        <w:spacing w:after="125" w:line="259" w:lineRule="auto"/>
        <w:ind w:left="-144" w:firstLine="0"/>
      </w:pPr>
      <w:r>
        <w:rPr>
          <w:noProof/>
        </w:rPr>
        <w:drawing>
          <wp:inline distT="0" distB="0" distL="0" distR="0" wp14:anchorId="14433877" wp14:editId="71D9EC18">
            <wp:extent cx="2892940" cy="246912"/>
            <wp:effectExtent l="0" t="0" r="0" b="0"/>
            <wp:docPr id="22283" name="Picture 22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3" name="Picture 222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2940" cy="24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E5D7" w14:textId="77777777" w:rsidR="001B204F" w:rsidRDefault="00000000">
      <w:pPr>
        <w:spacing w:after="39"/>
        <w:ind w:left="-5"/>
      </w:pPr>
      <w:r>
        <w:t>Kontaktna oseba: Gabrijela Sušec</w:t>
      </w:r>
    </w:p>
    <w:p w14:paraId="48A9450B" w14:textId="21147288" w:rsidR="001B204F" w:rsidRDefault="00000000">
      <w:pPr>
        <w:spacing w:after="48"/>
        <w:ind w:left="-5"/>
      </w:pPr>
      <w:r>
        <w:t>E-poštni naslov: gab</w:t>
      </w:r>
      <w:r w:rsidR="00EA3013">
        <w:t>ri</w:t>
      </w:r>
      <w:r>
        <w:t>jela.susec@velenje.si</w:t>
      </w:r>
    </w:p>
    <w:p w14:paraId="20CA8BF8" w14:textId="77777777" w:rsidR="001B204F" w:rsidRDefault="00000000">
      <w:pPr>
        <w:spacing w:after="151"/>
        <w:ind w:left="-5"/>
      </w:pPr>
      <w:r>
        <w:t>Telefonska št: 03/8961 850</w:t>
      </w:r>
    </w:p>
    <w:p w14:paraId="15685BD3" w14:textId="17E05F3E" w:rsidR="001B204F" w:rsidRDefault="00000000">
      <w:pPr>
        <w:spacing w:after="148" w:line="216" w:lineRule="auto"/>
        <w:ind w:left="0" w:right="182" w:firstLine="5"/>
        <w:jc w:val="both"/>
      </w:pPr>
      <w:r>
        <w:t>Ponudniki lahko zahtevajo dodatne infor</w:t>
      </w:r>
      <w:r w:rsidR="009A46C3">
        <w:t>m</w:t>
      </w:r>
      <w:r>
        <w:t>acije pri kontaktni osebi. Vsa pojasnila preko telefona so zgolj Informativne narave. Pojasnita posredovana preko dopisov in epošte se upoštevajo za vse ponudnike, če so bila na njih naslovljena. v nasprotnem primeru pa se upoštevajo zgolj kot informacije konkretnemu ponudniku na katerega so bila naslovljena in se ne morejo šteti v škodo ostalim ponudnikom, ki o določenem dejstvu niso bili obveščeni.</w:t>
      </w:r>
    </w:p>
    <w:p w14:paraId="5F976001" w14:textId="77777777" w:rsidR="001B204F" w:rsidRDefault="00000000">
      <w:pPr>
        <w:spacing w:after="122" w:line="259" w:lineRule="auto"/>
        <w:ind w:left="-144" w:firstLine="0"/>
      </w:pPr>
      <w:r>
        <w:rPr>
          <w:noProof/>
        </w:rPr>
        <w:drawing>
          <wp:inline distT="0" distB="0" distL="0" distR="0" wp14:anchorId="50434945" wp14:editId="405EB78E">
            <wp:extent cx="2892940" cy="246911"/>
            <wp:effectExtent l="0" t="0" r="0" b="0"/>
            <wp:docPr id="22285" name="Picture 2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5" name="Picture 22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2940" cy="24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AE299" w14:textId="77777777" w:rsidR="001B204F" w:rsidRDefault="00000000">
      <w:pPr>
        <w:spacing w:after="50"/>
        <w:ind w:left="-5"/>
      </w:pPr>
      <w:r>
        <w:t>Ponudnik odda ponudbo do roka za predložitev ponudb na način:</w:t>
      </w:r>
    </w:p>
    <w:p w14:paraId="4CE3F86C" w14:textId="77777777" w:rsidR="001B204F" w:rsidRDefault="00000000">
      <w:pPr>
        <w:numPr>
          <w:ilvl w:val="0"/>
          <w:numId w:val="1"/>
        </w:numPr>
        <w:ind w:left="735" w:hanging="317"/>
      </w:pPr>
      <w:r>
        <w:t>elektronska oddaja</w:t>
      </w:r>
    </w:p>
    <w:p w14:paraId="60BE3634" w14:textId="77777777" w:rsidR="001B204F" w:rsidRDefault="00000000">
      <w:pPr>
        <w:numPr>
          <w:ilvl w:val="0"/>
          <w:numId w:val="1"/>
        </w:numPr>
        <w:ind w:left="735" w:hanging="317"/>
      </w:pPr>
      <w:r>
        <w:t>osebno na naslov: MESTNA OBČINA VELENJE, Titov trg 1, 3320 Velenje</w:t>
      </w:r>
    </w:p>
    <w:p w14:paraId="7C32431A" w14:textId="77777777" w:rsidR="001B204F" w:rsidRDefault="00000000">
      <w:pPr>
        <w:numPr>
          <w:ilvl w:val="0"/>
          <w:numId w:val="1"/>
        </w:numPr>
        <w:ind w:left="735" w:hanging="317"/>
      </w:pPr>
      <w:r>
        <w:t>po pošti na naslov: MESTNA OBČINA VELENJE, Titov trg 1, 3320 Velenje</w:t>
      </w:r>
    </w:p>
    <w:p w14:paraId="2F4530F6" w14:textId="77777777" w:rsidR="001B204F" w:rsidRDefault="00000000">
      <w:pPr>
        <w:numPr>
          <w:ilvl w:val="0"/>
          <w:numId w:val="1"/>
        </w:numPr>
        <w:spacing w:after="135"/>
        <w:ind w:left="735" w:hanging="317"/>
      </w:pPr>
      <w:r>
        <w:t>po e-pošti na naslov: gabrijela.susec@velenje.si</w:t>
      </w:r>
    </w:p>
    <w:p w14:paraId="0C74123B" w14:textId="081D1CEC" w:rsidR="001B204F" w:rsidRDefault="00000000">
      <w:pPr>
        <w:spacing w:after="212"/>
        <w:ind w:left="-5"/>
      </w:pPr>
      <w:r>
        <w:t>Ponudnik naj ponudbo odda z jasno oznako PONUDBA »Izvedba revizijskih pregledov MOV in JZ (OŠ Šalek, Ljudska univerza, Rdeča dvorana)«. Na vseh ovitkih naj bo navedena firma, točen naslov, telefonska številka in email ponudnika.</w:t>
      </w:r>
    </w:p>
    <w:p w14:paraId="5BEC1223" w14:textId="1B683745" w:rsidR="001B204F" w:rsidRDefault="00000000">
      <w:pPr>
        <w:spacing w:after="163"/>
        <w:ind w:left="-5"/>
      </w:pPr>
      <w:r>
        <w:t>V primeru ele</w:t>
      </w:r>
      <w:r w:rsidR="008D4D26">
        <w:t>ktr</w:t>
      </w:r>
      <w:r>
        <w:t>onske oddaje ponudbe ponudnik s klikom na posredovana povezavo dostopa do elektronskega obrazca za oddajo ponudbe. Za oddajo ponudbe sledite navodilom v elektronskem obrazcu.</w:t>
      </w:r>
    </w:p>
    <w:p w14:paraId="0A80A51B" w14:textId="77777777" w:rsidR="001B204F" w:rsidRDefault="00000000">
      <w:pPr>
        <w:spacing w:after="1052" w:line="259" w:lineRule="auto"/>
        <w:ind w:left="15" w:hanging="10"/>
      </w:pPr>
      <w:r>
        <w:rPr>
          <w:sz w:val="20"/>
        </w:rPr>
        <w:t>Ponudnik mora v ponudbi predložiti izjavo 2 v kolikor Je vrednost ponudbe višja kot 10.000,00 brez DDV povezava: https://arhiva.velenje.sWtoge/e-JN/lZJAVA%201%20in%202.docx</w:t>
      </w:r>
    </w:p>
    <w:p w14:paraId="044AAEDD" w14:textId="77777777" w:rsidR="001B204F" w:rsidRDefault="00000000">
      <w:pPr>
        <w:spacing w:after="0" w:line="259" w:lineRule="auto"/>
        <w:ind w:left="0" w:right="835" w:firstLine="0"/>
        <w:jc w:val="right"/>
      </w:pPr>
      <w:r>
        <w:rPr>
          <w:rFonts w:ascii="Times New Roman" w:eastAsia="Times New Roman" w:hAnsi="Times New Roman" w:cs="Times New Roman"/>
          <w:sz w:val="28"/>
        </w:rPr>
        <w:t>1</w:t>
      </w:r>
    </w:p>
    <w:p w14:paraId="2AFDCD5E" w14:textId="5FEB4ED1" w:rsidR="001B204F" w:rsidRDefault="001B204F">
      <w:pPr>
        <w:spacing w:after="305" w:line="259" w:lineRule="auto"/>
        <w:ind w:left="1676" w:right="4642" w:hanging="10"/>
      </w:pPr>
    </w:p>
    <w:tbl>
      <w:tblPr>
        <w:tblStyle w:val="TableGrid"/>
        <w:tblW w:w="4559" w:type="dxa"/>
        <w:tblInd w:w="35" w:type="dxa"/>
        <w:tblCellMar>
          <w:top w:w="22" w:type="dxa"/>
          <w:left w:w="17" w:type="dxa"/>
          <w:right w:w="19" w:type="dxa"/>
        </w:tblCellMar>
        <w:tblLook w:val="04A0" w:firstRow="1" w:lastRow="0" w:firstColumn="1" w:lastColumn="0" w:noHBand="0" w:noVBand="1"/>
      </w:tblPr>
      <w:tblGrid>
        <w:gridCol w:w="4559"/>
      </w:tblGrid>
      <w:tr w:rsidR="001B204F" w14:paraId="03CD54DC" w14:textId="77777777">
        <w:trPr>
          <w:trHeight w:val="334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C4C70" w14:textId="69FBF10F" w:rsidR="001B204F" w:rsidRDefault="00000000">
            <w:pPr>
              <w:spacing w:after="0" w:line="259" w:lineRule="auto"/>
              <w:ind w:left="120" w:firstLine="0"/>
            </w:pPr>
            <w:r>
              <w:rPr>
                <w:sz w:val="26"/>
              </w:rPr>
              <w:lastRenderedPageBreak/>
              <w:t>VE</w:t>
            </w:r>
            <w:r w:rsidR="00726CB0">
              <w:rPr>
                <w:sz w:val="26"/>
              </w:rPr>
              <w:t>LJAVNOST PONUDBE</w:t>
            </w:r>
          </w:p>
        </w:tc>
      </w:tr>
    </w:tbl>
    <w:p w14:paraId="773D2C2C" w14:textId="6BA79000" w:rsidR="001B204F" w:rsidRDefault="00000000">
      <w:pPr>
        <w:spacing w:after="62" w:line="259" w:lineRule="auto"/>
        <w:ind w:left="183" w:hanging="10"/>
      </w:pPr>
      <w:r>
        <w:rPr>
          <w:sz w:val="20"/>
        </w:rPr>
        <w:t xml:space="preserve">Čas </w:t>
      </w:r>
      <w:r w:rsidR="00726CB0">
        <w:rPr>
          <w:sz w:val="20"/>
        </w:rPr>
        <w:t>veljavnosti</w:t>
      </w:r>
      <w:r>
        <w:rPr>
          <w:sz w:val="20"/>
        </w:rPr>
        <w:t>: najmanj 90 dni od roka za predložitev ponudb.</w:t>
      </w:r>
    </w:p>
    <w:tbl>
      <w:tblPr>
        <w:tblStyle w:val="TableGrid"/>
        <w:tblW w:w="4558" w:type="dxa"/>
        <w:tblInd w:w="32" w:type="dxa"/>
        <w:tblCellMar>
          <w:top w:w="22" w:type="dxa"/>
          <w:left w:w="16" w:type="dxa"/>
        </w:tblCellMar>
        <w:tblLook w:val="04A0" w:firstRow="1" w:lastRow="0" w:firstColumn="1" w:lastColumn="0" w:noHBand="0" w:noVBand="1"/>
      </w:tblPr>
      <w:tblGrid>
        <w:gridCol w:w="4558"/>
      </w:tblGrid>
      <w:tr w:rsidR="001B204F" w14:paraId="762348BC" w14:textId="77777777">
        <w:trPr>
          <w:trHeight w:val="322"/>
        </w:trPr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4934B" w14:textId="0C29833A" w:rsidR="001B204F" w:rsidRDefault="00000000">
            <w:pPr>
              <w:spacing w:after="0" w:line="259" w:lineRule="auto"/>
              <w:ind w:left="125" w:firstLine="0"/>
            </w:pPr>
            <w:r>
              <w:rPr>
                <w:sz w:val="26"/>
              </w:rPr>
              <w:t xml:space="preserve">VPRAŠANJA IN ODGOVORI </w:t>
            </w:r>
          </w:p>
        </w:tc>
      </w:tr>
    </w:tbl>
    <w:p w14:paraId="42AA3FBF" w14:textId="55935A6E" w:rsidR="001B204F" w:rsidRDefault="00000000">
      <w:pPr>
        <w:ind w:left="173"/>
      </w:pPr>
      <w:r>
        <w:t>Ponudniki lahko do zgoraj navedenega datuma pošljejo zahtevke za pojasnila v zvezi s predmetom naročila. Zahteve za pojasnila se pošljejo po e-pošti kon</w:t>
      </w:r>
      <w:r w:rsidR="00726CB0">
        <w:t>taktni</w:t>
      </w:r>
      <w:r>
        <w:t xml:space="preserve"> osebi navedeni zgoraj.</w:t>
      </w:r>
    </w:p>
    <w:p w14:paraId="185C5389" w14:textId="77777777" w:rsidR="001B204F" w:rsidRDefault="00000000">
      <w:pPr>
        <w:spacing w:after="216" w:line="259" w:lineRule="auto"/>
        <w:ind w:left="158" w:firstLine="0"/>
      </w:pPr>
      <w:r>
        <w:rPr>
          <w:noProof/>
        </w:rPr>
        <w:drawing>
          <wp:inline distT="0" distB="0" distL="0" distR="0" wp14:anchorId="2CEAED98" wp14:editId="4BA9AB39">
            <wp:extent cx="2719181" cy="335312"/>
            <wp:effectExtent l="0" t="0" r="0" b="0"/>
            <wp:docPr id="22287" name="Picture 22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7" name="Picture 222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9181" cy="33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D7DBF" w14:textId="6A605862" w:rsidR="001B204F" w:rsidRDefault="00000000">
      <w:pPr>
        <w:spacing w:after="148"/>
        <w:ind w:left="178"/>
      </w:pPr>
      <w:r>
        <w:t xml:space="preserve">Področja revizijskega pregleda MOV za </w:t>
      </w:r>
      <w:r w:rsidR="00726CB0">
        <w:t>l</w:t>
      </w:r>
      <w:r>
        <w:t>eto 2022:</w:t>
      </w:r>
    </w:p>
    <w:p w14:paraId="73AE45F0" w14:textId="5609D0B1" w:rsidR="00726CB0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 xml:space="preserve">ocena ustreznosti obvladovanja tveganj in delovanja notranjih kontrol; </w:t>
      </w:r>
    </w:p>
    <w:p w14:paraId="370FE4C4" w14:textId="361AF935" w:rsidR="00726CB0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 xml:space="preserve">preverjanje postopkov javnega naročanja po ZJN-3, za vsak urad (7) en Izbran vzorec; </w:t>
      </w:r>
    </w:p>
    <w:p w14:paraId="4B69DC75" w14:textId="77777777" w:rsidR="00726CB0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 xml:space="preserve">pregled poslovanja izbrane krajevne skupnosti; </w:t>
      </w:r>
    </w:p>
    <w:p w14:paraId="1DB7D6DC" w14:textId="77777777" w:rsidR="00726CB0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 xml:space="preserve">svetovanje na področju, ki je predmet pregleda ter revizijsko poročilo; </w:t>
      </w:r>
    </w:p>
    <w:p w14:paraId="4B2FCDFA" w14:textId="03FDD98C" w:rsidR="00726CB0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>predstavitev revizijskih poročil županu;</w:t>
      </w:r>
      <w:r>
        <w:tab/>
      </w:r>
    </w:p>
    <w:p w14:paraId="1FCDCD19" w14:textId="7B3C1648" w:rsidR="001B204F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>priprava letnega poročila za Urad za nadzor proračuna</w:t>
      </w:r>
    </w:p>
    <w:p w14:paraId="2115EFE4" w14:textId="48328813" w:rsidR="00E07ECA" w:rsidRPr="00E07ECA" w:rsidRDefault="00E07ECA" w:rsidP="00E07ECA">
      <w:pPr>
        <w:autoSpaceDE w:val="0"/>
        <w:autoSpaceDN w:val="0"/>
        <w:ind w:left="5" w:firstLine="0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Področja revizijskih pregledov nadzorovanih JZ (OŠ Šalek, Ljudska Univerza Velenje, Rdeča dvorana ŠRZ):</w:t>
      </w:r>
    </w:p>
    <w:p w14:paraId="74C01486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 xml:space="preserve">oceno ustreznosti obvladovanja tveganj in delovanja notranjih kontrol; </w:t>
      </w:r>
    </w:p>
    <w:p w14:paraId="07E0427B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nabavi materiala in storitev;</w:t>
      </w:r>
    </w:p>
    <w:p w14:paraId="41632E71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upravljanju in evidentiranju osnovnih sredstev;</w:t>
      </w:r>
    </w:p>
    <w:p w14:paraId="14F98304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javnem naročanju in preveritev pravilnosti izbranih postopkov javnega naročanja;</w:t>
      </w:r>
    </w:p>
    <w:p w14:paraId="4323DB63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blagajniškem poslovanju;</w:t>
      </w:r>
    </w:p>
    <w:p w14:paraId="51A441E0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denarnih izplačilih;</w:t>
      </w:r>
    </w:p>
    <w:p w14:paraId="25801135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delovanje notranjih kontrol pri prodaji blaga in storitev iz naslova tržne dejavnosti;</w:t>
      </w:r>
    </w:p>
    <w:p w14:paraId="3D20E822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upravljanju s terjatvami;</w:t>
      </w:r>
    </w:p>
    <w:p w14:paraId="32763DF0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svetovanje na področju, ki je predmet pregleda ter revizijsko poročilo;</w:t>
      </w:r>
    </w:p>
    <w:p w14:paraId="7D32F501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seznam ukrepov, ki jih mora posamezna nadzorovana oseba izvesti.</w:t>
      </w:r>
    </w:p>
    <w:p w14:paraId="26EE18E2" w14:textId="77777777" w:rsidR="00E07ECA" w:rsidRDefault="00E07ECA" w:rsidP="00E07ECA">
      <w:pPr>
        <w:pStyle w:val="1-Naslov"/>
        <w:tabs>
          <w:tab w:val="left" w:pos="6946"/>
          <w:tab w:val="left" w:pos="7938"/>
        </w:tabs>
        <w:spacing w:before="0" w:line="240" w:lineRule="auto"/>
        <w:jc w:val="left"/>
        <w:rPr>
          <w:b w:val="0"/>
          <w:sz w:val="24"/>
          <w:szCs w:val="24"/>
        </w:rPr>
      </w:pPr>
    </w:p>
    <w:p w14:paraId="7F0CAF9D" w14:textId="77777777" w:rsidR="00654AA5" w:rsidRDefault="00654AA5">
      <w:pPr>
        <w:ind w:left="178"/>
      </w:pPr>
    </w:p>
    <w:p w14:paraId="748217FD" w14:textId="26AABC76" w:rsidR="001B204F" w:rsidRDefault="00000000">
      <w:pPr>
        <w:ind w:left="178"/>
      </w:pPr>
      <w:r>
        <w:t>(vpišite specifikacije predmeta, ki ga naročate; v primeru kopiranja besedila iz urejevalnika, uporabite lepljenje</w:t>
      </w:r>
    </w:p>
    <w:p w14:paraId="3DDF4916" w14:textId="77777777" w:rsidR="001B204F" w:rsidRDefault="001B204F">
      <w:pPr>
        <w:sectPr w:rsidR="001B204F">
          <w:pgSz w:w="11920" w:h="16840"/>
          <w:pgMar w:top="1344" w:right="1911" w:bottom="1800" w:left="1800" w:header="708" w:footer="708" w:gutter="0"/>
          <w:cols w:space="708"/>
        </w:sectPr>
      </w:pPr>
    </w:p>
    <w:p w14:paraId="3A03945A" w14:textId="77777777" w:rsidR="001B204F" w:rsidRDefault="00000000">
      <w:pPr>
        <w:spacing w:after="354"/>
        <w:ind w:left="-5"/>
      </w:pPr>
      <w:r>
        <w:t>brez oblikovanja Crtl+Shift+V)</w:t>
      </w:r>
    </w:p>
    <w:p w14:paraId="365F25D9" w14:textId="35B7D284" w:rsidR="001B204F" w:rsidRDefault="00000000">
      <w:pPr>
        <w:spacing w:after="543"/>
        <w:ind w:left="-5" w:right="1291"/>
      </w:pPr>
      <w:r>
        <w:t xml:space="preserve">št. dokumenta: JN-0383/2023 </w:t>
      </w:r>
      <w:r w:rsidR="00726CB0">
        <w:t xml:space="preserve">Velenje, </w:t>
      </w:r>
      <w:r w:rsidR="00167A0C">
        <w:t>12</w:t>
      </w:r>
      <w:r w:rsidR="00726CB0">
        <w:t>.6.2023</w:t>
      </w:r>
    </w:p>
    <w:p w14:paraId="7B3BD7E9" w14:textId="677D7768" w:rsidR="001B204F" w:rsidRDefault="00000000">
      <w:pPr>
        <w:spacing w:after="159"/>
        <w:ind w:left="101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D5B19FB" wp14:editId="521578DF">
            <wp:simplePos x="0" y="0"/>
            <wp:positionH relativeFrom="column">
              <wp:posOffset>362761</wp:posOffset>
            </wp:positionH>
            <wp:positionV relativeFrom="paragraph">
              <wp:posOffset>481630</wp:posOffset>
            </wp:positionV>
            <wp:extent cx="490794" cy="262153"/>
            <wp:effectExtent l="0" t="0" r="0" b="0"/>
            <wp:wrapSquare wrapText="bothSides"/>
            <wp:docPr id="17542" name="Picture 17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" name="Picture 175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794" cy="26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Skrbnik naročila:</w:t>
      </w:r>
    </w:p>
    <w:p w14:paraId="0E0F0A48" w14:textId="07F24435" w:rsidR="00726CB0" w:rsidRDefault="00000000" w:rsidP="00726CB0">
      <w:pPr>
        <w:spacing w:after="160"/>
        <w:ind w:left="101"/>
      </w:pPr>
      <w:r>
        <w:t xml:space="preserve">Gabrijela Sušec, Višji svetovalec I </w:t>
      </w:r>
      <w:r w:rsidR="00EA3013">
        <w:t>–</w:t>
      </w:r>
      <w:r>
        <w:t xml:space="preserve"> vodja</w:t>
      </w:r>
      <w:r w:rsidR="00EA3013">
        <w:t xml:space="preserve">   </w:t>
      </w:r>
      <w:r>
        <w:t>računo</w:t>
      </w:r>
      <w:r w:rsidR="00E07ECA">
        <w:t>vodstva</w:t>
      </w:r>
    </w:p>
    <w:p w14:paraId="6C071642" w14:textId="77777777" w:rsidR="00E07ECA" w:rsidRDefault="00E07ECA" w:rsidP="00726CB0">
      <w:pPr>
        <w:spacing w:after="160"/>
      </w:pPr>
    </w:p>
    <w:p w14:paraId="41D6FCEE" w14:textId="34639991" w:rsidR="001B204F" w:rsidRDefault="00000000" w:rsidP="00726CB0">
      <w:pPr>
        <w:spacing w:after="160"/>
      </w:pPr>
      <w:r>
        <w:t>Vodja naročila:</w:t>
      </w:r>
    </w:p>
    <w:p w14:paraId="6FB216E4" w14:textId="297E4064" w:rsidR="001B204F" w:rsidRDefault="00000000">
      <w:pPr>
        <w:ind w:left="-5"/>
      </w:pPr>
      <w:r>
        <w:t>Amra Kadrić, Podsekretar - vodja urada</w:t>
      </w:r>
    </w:p>
    <w:p w14:paraId="1E252044" w14:textId="535AC764" w:rsidR="001B204F" w:rsidRDefault="00726CB0">
      <w:pPr>
        <w:spacing w:after="1685" w:line="259" w:lineRule="auto"/>
        <w:ind w:left="831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4245E25" wp14:editId="2AA4B100">
            <wp:simplePos x="0" y="0"/>
            <wp:positionH relativeFrom="column">
              <wp:posOffset>2521443</wp:posOffset>
            </wp:positionH>
            <wp:positionV relativeFrom="paragraph">
              <wp:posOffset>135890</wp:posOffset>
            </wp:positionV>
            <wp:extent cx="975491" cy="932777"/>
            <wp:effectExtent l="0" t="0" r="0" b="0"/>
            <wp:wrapSquare wrapText="bothSides"/>
            <wp:docPr id="22291" name="Picture 22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1" name="Picture 222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491" cy="932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06FE3B0" wp14:editId="4F7E9FEB">
            <wp:extent cx="905377" cy="484678"/>
            <wp:effectExtent l="0" t="0" r="0" b="0"/>
            <wp:docPr id="17539" name="Picture 17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" name="Picture 175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5377" cy="48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04F">
      <w:type w:val="continuous"/>
      <w:pgSz w:w="11920" w:h="16840"/>
      <w:pgMar w:top="1440" w:right="1815" w:bottom="1440" w:left="1973" w:header="708" w:footer="708" w:gutter="0"/>
      <w:cols w:num="2" w:space="708" w:equalWidth="0">
        <w:col w:w="3548" w:space="1781"/>
        <w:col w:w="28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5.25pt;height:6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21F72D9B"/>
    <w:multiLevelType w:val="hybridMultilevel"/>
    <w:tmpl w:val="1A3A7690"/>
    <w:lvl w:ilvl="0" w:tplc="3DDEC806">
      <w:start w:val="3320"/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64150AB"/>
    <w:multiLevelType w:val="hybridMultilevel"/>
    <w:tmpl w:val="C75CB494"/>
    <w:lvl w:ilvl="0" w:tplc="37AC4154">
      <w:start w:val="1"/>
      <w:numFmt w:val="bullet"/>
      <w:lvlText w:val="•"/>
      <w:lvlPicBulletId w:val="0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4EA20">
      <w:start w:val="1"/>
      <w:numFmt w:val="bullet"/>
      <w:lvlText w:val="o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4ABF0">
      <w:start w:val="1"/>
      <w:numFmt w:val="bullet"/>
      <w:lvlText w:val="▪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C21254">
      <w:start w:val="1"/>
      <w:numFmt w:val="bullet"/>
      <w:lvlText w:val="•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E235EC">
      <w:start w:val="1"/>
      <w:numFmt w:val="bullet"/>
      <w:lvlText w:val="o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259FC">
      <w:start w:val="1"/>
      <w:numFmt w:val="bullet"/>
      <w:lvlText w:val="▪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0BD92">
      <w:start w:val="1"/>
      <w:numFmt w:val="bullet"/>
      <w:lvlText w:val="•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8E2BA2">
      <w:start w:val="1"/>
      <w:numFmt w:val="bullet"/>
      <w:lvlText w:val="o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AB488">
      <w:start w:val="1"/>
      <w:numFmt w:val="bullet"/>
      <w:lvlText w:val="▪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72E1B"/>
    <w:multiLevelType w:val="hybridMultilevel"/>
    <w:tmpl w:val="17CC6CF6"/>
    <w:lvl w:ilvl="0" w:tplc="80CEFD0C">
      <w:start w:val="1"/>
      <w:numFmt w:val="bullet"/>
      <w:lvlText w:val="•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6A030C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E096C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48DD8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5E7E5C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885828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C0CD38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3A1AA4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1C9702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F7364A"/>
    <w:multiLevelType w:val="hybridMultilevel"/>
    <w:tmpl w:val="06B4610A"/>
    <w:lvl w:ilvl="0" w:tplc="3FF628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67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ED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46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81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27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EE0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CD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E9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DA4E4E"/>
    <w:multiLevelType w:val="hybridMultilevel"/>
    <w:tmpl w:val="9C60B1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450525">
    <w:abstractNumId w:val="2"/>
  </w:num>
  <w:num w:numId="2" w16cid:durableId="1796220392">
    <w:abstractNumId w:val="1"/>
  </w:num>
  <w:num w:numId="3" w16cid:durableId="367989938">
    <w:abstractNumId w:val="3"/>
  </w:num>
  <w:num w:numId="4" w16cid:durableId="521020532">
    <w:abstractNumId w:val="0"/>
  </w:num>
  <w:num w:numId="5" w16cid:durableId="798954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4F"/>
    <w:rsid w:val="00167A0C"/>
    <w:rsid w:val="001B204F"/>
    <w:rsid w:val="00654AA5"/>
    <w:rsid w:val="00726CB0"/>
    <w:rsid w:val="008D4D26"/>
    <w:rsid w:val="009A46C3"/>
    <w:rsid w:val="00DE6398"/>
    <w:rsid w:val="00E07ECA"/>
    <w:rsid w:val="00EA3013"/>
    <w:rsid w:val="00F4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2B9"/>
  <w15:docId w15:val="{7812C512-72CE-430C-A3C5-C18D9599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3" w:line="265" w:lineRule="auto"/>
      <w:ind w:left="10" w:hanging="5"/>
    </w:pPr>
    <w:rPr>
      <w:rFonts w:ascii="Calibri" w:eastAsia="Calibri" w:hAnsi="Calibri" w:cs="Calibri"/>
      <w:color w:val="000000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726CB0"/>
    <w:pPr>
      <w:ind w:left="720"/>
      <w:contextualSpacing/>
    </w:pPr>
  </w:style>
  <w:style w:type="paragraph" w:customStyle="1" w:styleId="1-Naslov">
    <w:name w:val="1-Naslov"/>
    <w:basedOn w:val="Navaden"/>
    <w:link w:val="1-NaslovChar"/>
    <w:qFormat/>
    <w:rsid w:val="00E07ECA"/>
    <w:pPr>
      <w:spacing w:before="300" w:after="0" w:line="276" w:lineRule="auto"/>
      <w:ind w:left="0" w:firstLine="0"/>
      <w:jc w:val="center"/>
    </w:pPr>
    <w:rPr>
      <w:rFonts w:ascii="Arial" w:hAnsi="Arial" w:cs="Times New Roman"/>
      <w:b/>
      <w:color w:val="auto"/>
      <w:kern w:val="0"/>
      <w:sz w:val="36"/>
      <w:lang w:eastAsia="en-US"/>
      <w14:ligatures w14:val="none"/>
    </w:rPr>
  </w:style>
  <w:style w:type="character" w:customStyle="1" w:styleId="1-NaslovChar">
    <w:name w:val="1-Naslov Char"/>
    <w:link w:val="1-Naslov"/>
    <w:rsid w:val="00E07ECA"/>
    <w:rPr>
      <w:rFonts w:ascii="Arial" w:eastAsia="Calibri" w:hAnsi="Arial" w:cs="Times New Roman"/>
      <w:b/>
      <w:kern w:val="0"/>
      <w:sz w:val="3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Sušec</dc:creator>
  <cp:keywords/>
  <cp:lastModifiedBy>Gabrijela Sušec</cp:lastModifiedBy>
  <cp:revision>9</cp:revision>
  <dcterms:created xsi:type="dcterms:W3CDTF">2023-06-05T10:06:00Z</dcterms:created>
  <dcterms:modified xsi:type="dcterms:W3CDTF">2023-06-13T06:38:00Z</dcterms:modified>
</cp:coreProperties>
</file>