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62C" w:rsidRPr="00BA762C" w:rsidRDefault="00523155" w:rsidP="00BA762C">
      <w:pPr>
        <w:spacing w:after="0"/>
        <w:jc w:val="right"/>
        <w:rPr>
          <w:rFonts w:ascii="Arial" w:eastAsiaTheme="minorHAnsi" w:hAnsi="Arial" w:cs="Arial"/>
          <w:i/>
          <w:sz w:val="16"/>
          <w:szCs w:val="16"/>
        </w:rPr>
      </w:pPr>
      <w:r>
        <w:rPr>
          <w:rFonts w:ascii="Arial" w:eastAsiaTheme="minorHAnsi" w:hAnsi="Arial" w:cs="Arial"/>
          <w:i/>
          <w:sz w:val="16"/>
          <w:szCs w:val="16"/>
        </w:rPr>
        <w:t>PRILOGE - Obrazec št. 9</w:t>
      </w:r>
      <w:bookmarkStart w:id="0" w:name="_GoBack"/>
      <w:bookmarkEnd w:id="0"/>
    </w:p>
    <w:p w:rsidR="00BA762C" w:rsidRPr="00BA762C" w:rsidRDefault="00BA762C" w:rsidP="00BA762C">
      <w:pPr>
        <w:keepNext/>
        <w:keepLines/>
        <w:spacing w:before="200" w:after="0"/>
        <w:jc w:val="center"/>
        <w:outlineLvl w:val="2"/>
        <w:rPr>
          <w:rFonts w:ascii="Arial" w:eastAsiaTheme="majorEastAsia" w:hAnsi="Arial" w:cs="Arial"/>
          <w:b/>
          <w:bCs/>
          <w:u w:val="single"/>
        </w:rPr>
      </w:pPr>
      <w:bookmarkStart w:id="1" w:name="_Toc482015059"/>
      <w:r w:rsidRPr="00BA762C">
        <w:rPr>
          <w:rFonts w:ascii="Arial" w:eastAsiaTheme="majorEastAsia" w:hAnsi="Arial" w:cs="Arial"/>
          <w:b/>
          <w:bCs/>
          <w:u w:val="single"/>
        </w:rPr>
        <w:t>IZJAVA</w:t>
      </w:r>
      <w:bookmarkEnd w:id="1"/>
      <w:r w:rsidRPr="00BA762C">
        <w:rPr>
          <w:rFonts w:ascii="Arial" w:eastAsiaTheme="majorEastAsia" w:hAnsi="Arial" w:cs="Arial"/>
          <w:b/>
          <w:bCs/>
          <w:u w:val="single"/>
        </w:rPr>
        <w:t xml:space="preserve"> – OKOLJSKE ZAHTEVE</w:t>
      </w:r>
    </w:p>
    <w:p w:rsidR="00BA762C" w:rsidRPr="00BA762C" w:rsidRDefault="00BA762C" w:rsidP="00BA762C">
      <w:pPr>
        <w:spacing w:before="225" w:after="225" w:line="240" w:lineRule="auto"/>
        <w:jc w:val="both"/>
        <w:rPr>
          <w:rFonts w:ascii="Arial" w:eastAsiaTheme="minorHAnsi" w:hAnsi="Arial" w:cs="Arial"/>
          <w:bCs/>
          <w:color w:val="000000"/>
          <w:sz w:val="18"/>
          <w:szCs w:val="18"/>
        </w:rPr>
      </w:pPr>
    </w:p>
    <w:p w:rsidR="00BA762C" w:rsidRPr="00BA762C" w:rsidRDefault="00BA762C" w:rsidP="00BA762C">
      <w:pPr>
        <w:spacing w:before="225" w:after="225" w:line="240" w:lineRule="auto"/>
        <w:jc w:val="both"/>
        <w:rPr>
          <w:rFonts w:ascii="Arial" w:eastAsiaTheme="minorHAnsi" w:hAnsi="Arial" w:cs="Arial"/>
          <w:b/>
          <w:bCs/>
          <w:color w:val="000000"/>
          <w:sz w:val="18"/>
          <w:szCs w:val="18"/>
        </w:rPr>
      </w:pPr>
      <w:r w:rsidRPr="00BA762C">
        <w:rPr>
          <w:rFonts w:ascii="Arial" w:eastAsiaTheme="minorHAnsi" w:hAnsi="Arial" w:cs="Arial"/>
          <w:b/>
          <w:bCs/>
          <w:color w:val="000000"/>
          <w:sz w:val="18"/>
          <w:szCs w:val="18"/>
        </w:rPr>
        <w:t>I. Ponudnik</w:t>
      </w:r>
    </w:p>
    <w:p w:rsidR="00BA762C" w:rsidRPr="00BA762C" w:rsidRDefault="00BA762C" w:rsidP="00BA762C">
      <w:pPr>
        <w:spacing w:before="225" w:after="225" w:line="240" w:lineRule="auto"/>
        <w:jc w:val="both"/>
        <w:rPr>
          <w:rFonts w:ascii="Arial" w:eastAsiaTheme="minorHAnsi" w:hAnsi="Arial" w:cs="Arial"/>
        </w:rPr>
      </w:pPr>
      <w:r w:rsidRPr="00BA762C">
        <w:rPr>
          <w:rFonts w:ascii="Arial" w:eastAsiaTheme="minorHAnsi" w:hAnsi="Arial" w:cs="Arial"/>
          <w:b/>
          <w:bCs/>
          <w:color w:val="000000"/>
          <w:sz w:val="18"/>
          <w:szCs w:val="18"/>
        </w:rPr>
        <w:t>__________________________________________________________________________________________</w:t>
      </w:r>
    </w:p>
    <w:p w:rsidR="00BA762C" w:rsidRPr="00BA762C" w:rsidRDefault="00BA762C" w:rsidP="00BA762C">
      <w:pPr>
        <w:spacing w:before="225" w:after="225" w:line="240" w:lineRule="auto"/>
        <w:jc w:val="both"/>
        <w:rPr>
          <w:rFonts w:ascii="Arial" w:eastAsiaTheme="minorHAnsi" w:hAnsi="Arial" w:cs="Arial"/>
          <w:color w:val="000000"/>
          <w:sz w:val="18"/>
          <w:szCs w:val="18"/>
        </w:rPr>
      </w:pPr>
      <w:r w:rsidRPr="00BA762C">
        <w:rPr>
          <w:rFonts w:ascii="Arial" w:eastAsiaTheme="minorHAnsi" w:hAnsi="Arial" w:cs="Arial"/>
          <w:b/>
          <w:bCs/>
          <w:color w:val="000000"/>
          <w:sz w:val="18"/>
          <w:szCs w:val="18"/>
        </w:rPr>
        <w:t>II.</w:t>
      </w:r>
      <w:r w:rsidRPr="00BA762C">
        <w:rPr>
          <w:rFonts w:ascii="Arial" w:eastAsiaTheme="minorHAnsi" w:hAnsi="Arial" w:cs="Arial"/>
          <w:bCs/>
          <w:color w:val="000000"/>
          <w:sz w:val="18"/>
          <w:szCs w:val="18"/>
        </w:rPr>
        <w:t xml:space="preserve"> </w:t>
      </w:r>
      <w:r w:rsidRPr="00BA762C">
        <w:rPr>
          <w:rFonts w:ascii="Arial" w:eastAsiaTheme="minorHAnsi" w:hAnsi="Arial" w:cs="Arial"/>
          <w:color w:val="000000"/>
          <w:sz w:val="18"/>
          <w:szCs w:val="18"/>
        </w:rPr>
        <w:t xml:space="preserve">V zvezi z javnim naročilom </w:t>
      </w:r>
      <w:r w:rsidRPr="00BA762C">
        <w:rPr>
          <w:rFonts w:ascii="Arial" w:eastAsiaTheme="minorHAnsi" w:hAnsi="Arial" w:cs="Arial"/>
          <w:b/>
          <w:sz w:val="18"/>
          <w:szCs w:val="18"/>
        </w:rPr>
        <w:t>»</w:t>
      </w:r>
      <w:r w:rsidR="00A75A1D">
        <w:rPr>
          <w:rFonts w:ascii="Arial" w:eastAsiaTheme="minorHAnsi" w:hAnsi="Arial" w:cs="Arial"/>
          <w:b/>
          <w:sz w:val="18"/>
          <w:szCs w:val="18"/>
        </w:rPr>
        <w:t>Obnova sanitarij vrtca Tinkara</w:t>
      </w:r>
      <w:r w:rsidRPr="00BA762C">
        <w:rPr>
          <w:rFonts w:ascii="Arial" w:eastAsiaTheme="minorHAnsi" w:hAnsi="Arial" w:cs="Arial"/>
          <w:b/>
          <w:sz w:val="18"/>
          <w:szCs w:val="18"/>
        </w:rPr>
        <w:t>«,</w:t>
      </w:r>
      <w:r w:rsidRPr="00BA762C">
        <w:rPr>
          <w:rFonts w:ascii="Arial" w:eastAsiaTheme="minorHAnsi" w:hAnsi="Arial" w:cs="Arial"/>
        </w:rPr>
        <w:t xml:space="preserve"> </w:t>
      </w:r>
      <w:r w:rsidRPr="00BA762C">
        <w:rPr>
          <w:rFonts w:ascii="Arial" w:eastAsiaTheme="minorHAnsi" w:hAnsi="Arial" w:cs="Arial"/>
          <w:color w:val="000000"/>
          <w:sz w:val="18"/>
          <w:szCs w:val="18"/>
        </w:rPr>
        <w:t xml:space="preserve">pod kazensko in materialno odgovornostjo izjavljamo, da bomo skladno z določili Uredbe o zelenem javnem naročanju </w:t>
      </w:r>
      <w:r w:rsidR="00113793" w:rsidRPr="00113793">
        <w:rPr>
          <w:rFonts w:ascii="Arial" w:eastAsiaTheme="minorHAnsi" w:hAnsi="Arial" w:cs="Arial"/>
          <w:color w:val="000000"/>
          <w:sz w:val="18"/>
          <w:szCs w:val="18"/>
        </w:rPr>
        <w:t>(Uradni list RS, št. 51/17, 64/19</w:t>
      </w:r>
      <w:r w:rsidR="00687436">
        <w:rPr>
          <w:rFonts w:ascii="Arial" w:eastAsiaTheme="minorHAnsi" w:hAnsi="Arial" w:cs="Arial"/>
          <w:color w:val="000000"/>
          <w:sz w:val="18"/>
          <w:szCs w:val="18"/>
        </w:rPr>
        <w:t>,</w:t>
      </w:r>
      <w:r w:rsidR="00687436" w:rsidRPr="00687436">
        <w:t xml:space="preserve"> </w:t>
      </w:r>
      <w:r w:rsidR="00687436" w:rsidRPr="00687436">
        <w:rPr>
          <w:rFonts w:ascii="Arial" w:eastAsiaTheme="minorHAnsi" w:hAnsi="Arial" w:cs="Arial"/>
          <w:color w:val="000000"/>
          <w:sz w:val="18"/>
          <w:szCs w:val="18"/>
        </w:rPr>
        <w:t>49/20 – ZIUZEOP</w:t>
      </w:r>
      <w:r w:rsidR="00113793" w:rsidRPr="00113793">
        <w:rPr>
          <w:rFonts w:ascii="Arial" w:eastAsiaTheme="minorHAnsi" w:hAnsi="Arial" w:cs="Arial"/>
          <w:color w:val="000000"/>
          <w:sz w:val="18"/>
          <w:szCs w:val="18"/>
        </w:rPr>
        <w:t xml:space="preserve">) </w:t>
      </w:r>
      <w:r w:rsidRPr="00BA762C">
        <w:rPr>
          <w:rFonts w:ascii="Arial" w:eastAsiaTheme="minorHAnsi" w:hAnsi="Arial" w:cs="Arial"/>
          <w:color w:val="000000"/>
          <w:sz w:val="18"/>
          <w:szCs w:val="18"/>
        </w:rPr>
        <w:t>pri izvedbi predmetnega javnega naročila upoštevali in izpolnili v nadaljevanju navedene zahteve:</w:t>
      </w:r>
    </w:p>
    <w:p w:rsidR="00BA762C" w:rsidRPr="00BA762C" w:rsidRDefault="00BA762C" w:rsidP="00BA762C">
      <w:pPr>
        <w:tabs>
          <w:tab w:val="left" w:pos="426"/>
        </w:tabs>
        <w:spacing w:after="0" w:line="240" w:lineRule="auto"/>
        <w:jc w:val="both"/>
        <w:textAlignment w:val="center"/>
        <w:rPr>
          <w:rFonts w:ascii="Arial" w:eastAsiaTheme="minorHAnsi" w:hAnsi="Arial" w:cs="Arial"/>
          <w:color w:val="000000"/>
          <w:position w:val="-2"/>
          <w:sz w:val="18"/>
          <w:szCs w:val="18"/>
        </w:rPr>
      </w:pPr>
    </w:p>
    <w:p w:rsidR="00EE40EE" w:rsidRDefault="00EE40EE" w:rsidP="00EE40EE">
      <w:pPr>
        <w:numPr>
          <w:ilvl w:val="0"/>
          <w:numId w:val="1"/>
        </w:numPr>
        <w:tabs>
          <w:tab w:val="left" w:pos="426"/>
        </w:tabs>
        <w:spacing w:after="0" w:line="240" w:lineRule="auto"/>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Usmerjena sijalka mora imeti indeks energijske učinkovitosti EEI ≤ 0,18, zaradi česar je uvrščena v razred energijske učinkovitosti A+ ali višje.</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p>
    <w:p w:rsidR="00EE40EE" w:rsidRDefault="00EE40EE" w:rsidP="00EE40EE">
      <w:pPr>
        <w:numPr>
          <w:ilvl w:val="0"/>
          <w:numId w:val="1"/>
        </w:numPr>
        <w:tabs>
          <w:tab w:val="left" w:pos="426"/>
        </w:tabs>
        <w:spacing w:after="0" w:line="240" w:lineRule="auto"/>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Neusmerjena sijalka mora imeti indeks energijske učinkovitosti EEI ≤ 0,17, zaradi česar je uvrščena v razred energijske učinkovitosti A+ ali višje.</w:t>
      </w:r>
    </w:p>
    <w:p w:rsidR="00EE40EE" w:rsidRPr="00113793" w:rsidRDefault="00EE40EE" w:rsidP="00EE40EE">
      <w:pPr>
        <w:tabs>
          <w:tab w:val="left" w:pos="426"/>
        </w:tabs>
        <w:spacing w:after="0" w:line="240" w:lineRule="auto"/>
        <w:contextualSpacing/>
        <w:jc w:val="both"/>
        <w:textAlignment w:val="center"/>
        <w:rPr>
          <w:rFonts w:ascii="Arial" w:eastAsiaTheme="minorHAnsi" w:hAnsi="Arial" w:cs="Arial"/>
          <w:color w:val="000000"/>
          <w:position w:val="-2"/>
          <w:sz w:val="18"/>
          <w:szCs w:val="18"/>
        </w:rPr>
      </w:pPr>
    </w:p>
    <w:p w:rsidR="00EE40EE" w:rsidRDefault="00EE40EE" w:rsidP="00EE40EE">
      <w:pPr>
        <w:numPr>
          <w:ilvl w:val="0"/>
          <w:numId w:val="1"/>
        </w:numPr>
        <w:tabs>
          <w:tab w:val="left" w:pos="426"/>
        </w:tabs>
        <w:spacing w:after="0" w:line="240" w:lineRule="auto"/>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Svetilka mora omogočati uporabo sijalk, ki izpolnjujejo tehnične specifikacije, op</w:t>
      </w:r>
      <w:r>
        <w:rPr>
          <w:rFonts w:ascii="Arial" w:eastAsiaTheme="minorHAnsi" w:hAnsi="Arial" w:cs="Arial"/>
          <w:color w:val="000000"/>
          <w:position w:val="-2"/>
          <w:sz w:val="18"/>
          <w:szCs w:val="18"/>
        </w:rPr>
        <w:t>redeljene v točkah 1. oziroma 2.</w:t>
      </w:r>
    </w:p>
    <w:p w:rsidR="00EE40EE" w:rsidRPr="00113793" w:rsidRDefault="00EE40EE" w:rsidP="00EE40EE">
      <w:pPr>
        <w:tabs>
          <w:tab w:val="left" w:pos="426"/>
        </w:tabs>
        <w:spacing w:after="0" w:line="240" w:lineRule="auto"/>
        <w:contextualSpacing/>
        <w:jc w:val="both"/>
        <w:textAlignment w:val="center"/>
        <w:rPr>
          <w:rFonts w:ascii="Arial" w:eastAsiaTheme="minorHAnsi" w:hAnsi="Arial" w:cs="Arial"/>
          <w:color w:val="000000"/>
          <w:position w:val="-2"/>
          <w:sz w:val="18"/>
          <w:szCs w:val="18"/>
        </w:rPr>
      </w:pPr>
    </w:p>
    <w:p w:rsidR="00EE40EE" w:rsidRDefault="00EE40EE" w:rsidP="00EE40EE">
      <w:pPr>
        <w:numPr>
          <w:ilvl w:val="0"/>
          <w:numId w:val="1"/>
        </w:numPr>
        <w:tabs>
          <w:tab w:val="left" w:pos="426"/>
        </w:tabs>
        <w:spacing w:after="0" w:line="240" w:lineRule="auto"/>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Straniščni kompleti s celotnim volumnom splakovanja, ki presega 4,0 litra, in splakovalni straniščni sistemi morajo biti opremljeni z napravo za varčevanje z vodo. Ko se dajo na trg, zmanjšani volumen splakovanja, ki se sprosti ob delovanju naprave za varčevanje z vodo, ne sme presegati 3,0 l/splakovanje, ne glede na tlak vode. Straniščne školjke morajo omogočati uporabo naprave za varčevanje z vodo, njen zmanjšani volumen splakovanja, ki se sprosti ob delovanju naprave za varčevanje z vodo, pa ne sme presegati 3,0 l/splakovanje ne glede na tlak vode.</w:t>
      </w:r>
    </w:p>
    <w:p w:rsidR="00EE40EE" w:rsidRPr="00113793" w:rsidRDefault="00EE40EE" w:rsidP="00EE40EE">
      <w:pPr>
        <w:tabs>
          <w:tab w:val="left" w:pos="426"/>
        </w:tabs>
        <w:spacing w:after="0" w:line="240" w:lineRule="auto"/>
        <w:contextualSpacing/>
        <w:jc w:val="both"/>
        <w:textAlignment w:val="center"/>
        <w:rPr>
          <w:rFonts w:ascii="Arial" w:eastAsiaTheme="minorHAnsi" w:hAnsi="Arial" w:cs="Arial"/>
          <w:color w:val="000000"/>
          <w:position w:val="-2"/>
          <w:sz w:val="18"/>
          <w:szCs w:val="18"/>
        </w:rPr>
      </w:pPr>
    </w:p>
    <w:p w:rsidR="00EE40EE" w:rsidRPr="00113793" w:rsidRDefault="00EE40EE" w:rsidP="00EE40EE">
      <w:pPr>
        <w:tabs>
          <w:tab w:val="left" w:pos="426"/>
        </w:tabs>
        <w:spacing w:after="0" w:line="240" w:lineRule="auto"/>
        <w:contextualSpacing/>
        <w:jc w:val="both"/>
        <w:textAlignment w:val="center"/>
        <w:rPr>
          <w:rFonts w:ascii="Arial" w:eastAsiaTheme="minorHAnsi" w:hAnsi="Arial" w:cs="Arial"/>
          <w:color w:val="000000"/>
          <w:position w:val="-2"/>
          <w:sz w:val="18"/>
          <w:szCs w:val="18"/>
        </w:rPr>
      </w:pPr>
    </w:p>
    <w:p w:rsidR="00EE40EE" w:rsidRDefault="00EE40EE" w:rsidP="00EE40EE">
      <w:pPr>
        <w:numPr>
          <w:ilvl w:val="0"/>
          <w:numId w:val="1"/>
        </w:numPr>
        <w:tabs>
          <w:tab w:val="left" w:pos="426"/>
        </w:tabs>
        <w:spacing w:after="0" w:line="240" w:lineRule="auto"/>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Maksimalni pretok vode v umivalnik, ki ni odvisen od tlaka vode, ni višji od naslednjih vrednosti:</w:t>
      </w:r>
    </w:p>
    <w:tbl>
      <w:tblPr>
        <w:tblW w:w="0" w:type="auto"/>
        <w:tblInd w:w="1416" w:type="dxa"/>
        <w:tblCellMar>
          <w:left w:w="0" w:type="dxa"/>
          <w:right w:w="0" w:type="dxa"/>
        </w:tblCellMar>
        <w:tblLook w:val="04A0" w:firstRow="1" w:lastRow="0" w:firstColumn="1" w:lastColumn="0" w:noHBand="0" w:noVBand="1"/>
      </w:tblPr>
      <w:tblGrid>
        <w:gridCol w:w="3793"/>
        <w:gridCol w:w="3030"/>
      </w:tblGrid>
      <w:tr w:rsidR="00EE40EE" w:rsidRPr="00113793" w:rsidTr="00C249DD">
        <w:tc>
          <w:tcPr>
            <w:tcW w:w="37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40EE" w:rsidRPr="00113793" w:rsidRDefault="00EE40EE" w:rsidP="00C249DD">
            <w:pPr>
              <w:jc w:val="both"/>
              <w:textAlignment w:val="center"/>
              <w:rPr>
                <w:rFonts w:ascii="Arial" w:hAnsi="Arial" w:cs="Arial"/>
                <w:color w:val="000000"/>
                <w:position w:val="-2"/>
                <w:sz w:val="18"/>
                <w:szCs w:val="18"/>
              </w:rPr>
            </w:pPr>
            <w:r w:rsidRPr="00113793">
              <w:rPr>
                <w:rFonts w:ascii="Arial" w:hAnsi="Arial" w:cs="Arial"/>
                <w:color w:val="000000"/>
                <w:position w:val="-2"/>
                <w:sz w:val="18"/>
                <w:szCs w:val="18"/>
              </w:rPr>
              <w:t>Podskupina izdelka</w:t>
            </w:r>
          </w:p>
        </w:tc>
        <w:tc>
          <w:tcPr>
            <w:tcW w:w="30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40EE" w:rsidRPr="00113793" w:rsidRDefault="00EE40EE" w:rsidP="00C249DD">
            <w:pPr>
              <w:spacing w:after="0" w:line="240" w:lineRule="auto"/>
              <w:contextualSpacing/>
              <w:jc w:val="both"/>
              <w:textAlignment w:val="center"/>
              <w:rPr>
                <w:rFonts w:ascii="Arial" w:hAnsi="Arial" w:cs="Arial"/>
                <w:color w:val="000000"/>
                <w:position w:val="-2"/>
                <w:sz w:val="18"/>
                <w:szCs w:val="18"/>
              </w:rPr>
            </w:pPr>
            <w:r w:rsidRPr="00113793">
              <w:rPr>
                <w:rFonts w:ascii="Arial" w:hAnsi="Arial" w:cs="Arial"/>
                <w:color w:val="000000"/>
                <w:position w:val="-2"/>
                <w:sz w:val="18"/>
                <w:szCs w:val="18"/>
              </w:rPr>
              <w:t>Pretok vode [l/min]</w:t>
            </w:r>
          </w:p>
        </w:tc>
      </w:tr>
      <w:tr w:rsidR="00EE40EE" w:rsidRPr="00113793" w:rsidTr="00C249DD">
        <w:tc>
          <w:tcPr>
            <w:tcW w:w="37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E40EE" w:rsidRPr="00113793" w:rsidRDefault="00EE40EE" w:rsidP="00C249DD">
            <w:pPr>
              <w:jc w:val="both"/>
              <w:textAlignment w:val="center"/>
              <w:rPr>
                <w:rFonts w:ascii="Arial" w:hAnsi="Arial" w:cs="Arial"/>
                <w:color w:val="000000"/>
                <w:position w:val="-2"/>
                <w:sz w:val="18"/>
                <w:szCs w:val="18"/>
              </w:rPr>
            </w:pPr>
            <w:r w:rsidRPr="00113793">
              <w:rPr>
                <w:rFonts w:ascii="Arial" w:hAnsi="Arial" w:cs="Arial"/>
                <w:color w:val="000000"/>
                <w:position w:val="-2"/>
                <w:sz w:val="18"/>
                <w:szCs w:val="18"/>
              </w:rPr>
              <w:t>Kopalniške pipe – brez omejevalnika pretoka</w:t>
            </w:r>
          </w:p>
        </w:tc>
        <w:tc>
          <w:tcPr>
            <w:tcW w:w="30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E40EE" w:rsidRPr="00113793" w:rsidRDefault="00EE40EE" w:rsidP="00C249DD">
            <w:pPr>
              <w:spacing w:after="0" w:line="240" w:lineRule="auto"/>
              <w:contextualSpacing/>
              <w:jc w:val="both"/>
              <w:textAlignment w:val="center"/>
              <w:rPr>
                <w:rFonts w:ascii="Arial" w:hAnsi="Arial" w:cs="Arial"/>
                <w:color w:val="000000"/>
                <w:position w:val="-2"/>
                <w:sz w:val="18"/>
                <w:szCs w:val="18"/>
              </w:rPr>
            </w:pPr>
            <w:r w:rsidRPr="00113793">
              <w:rPr>
                <w:rFonts w:ascii="Arial" w:hAnsi="Arial" w:cs="Arial"/>
                <w:color w:val="000000"/>
                <w:position w:val="-2"/>
                <w:sz w:val="18"/>
                <w:szCs w:val="18"/>
              </w:rPr>
              <w:t>6,0</w:t>
            </w:r>
          </w:p>
        </w:tc>
      </w:tr>
      <w:tr w:rsidR="00EE40EE" w:rsidRPr="00113793" w:rsidTr="00C249DD">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40EE" w:rsidRPr="00113793" w:rsidRDefault="00EE40EE" w:rsidP="00C249DD">
            <w:pPr>
              <w:jc w:val="both"/>
              <w:textAlignment w:val="center"/>
              <w:rPr>
                <w:rFonts w:ascii="Arial" w:hAnsi="Arial" w:cs="Arial"/>
                <w:color w:val="000000"/>
                <w:position w:val="-2"/>
                <w:sz w:val="18"/>
                <w:szCs w:val="18"/>
              </w:rPr>
            </w:pPr>
            <w:r w:rsidRPr="00113793">
              <w:rPr>
                <w:rFonts w:ascii="Arial" w:hAnsi="Arial" w:cs="Arial"/>
                <w:color w:val="000000"/>
                <w:position w:val="-2"/>
                <w:sz w:val="18"/>
                <w:szCs w:val="18"/>
              </w:rPr>
              <w:t>Kopalniške pipe – z omejevalnikom pretoka</w:t>
            </w:r>
          </w:p>
        </w:tc>
        <w:tc>
          <w:tcPr>
            <w:tcW w:w="3030" w:type="dxa"/>
            <w:tcBorders>
              <w:top w:val="nil"/>
              <w:left w:val="nil"/>
              <w:bottom w:val="single" w:sz="8" w:space="0" w:color="auto"/>
              <w:right w:val="single" w:sz="8" w:space="0" w:color="auto"/>
            </w:tcBorders>
            <w:tcMar>
              <w:top w:w="0" w:type="dxa"/>
              <w:left w:w="108" w:type="dxa"/>
              <w:bottom w:w="0" w:type="dxa"/>
              <w:right w:w="108" w:type="dxa"/>
            </w:tcMar>
            <w:hideMark/>
          </w:tcPr>
          <w:p w:rsidR="00EE40EE" w:rsidRPr="00113793" w:rsidRDefault="00EE40EE" w:rsidP="00C249DD">
            <w:pPr>
              <w:spacing w:after="0" w:line="240" w:lineRule="auto"/>
              <w:contextualSpacing/>
              <w:jc w:val="both"/>
              <w:textAlignment w:val="center"/>
              <w:rPr>
                <w:rFonts w:ascii="Arial" w:hAnsi="Arial" w:cs="Arial"/>
                <w:color w:val="000000"/>
                <w:position w:val="-2"/>
                <w:sz w:val="18"/>
                <w:szCs w:val="18"/>
              </w:rPr>
            </w:pPr>
            <w:r w:rsidRPr="00113793">
              <w:rPr>
                <w:rFonts w:ascii="Arial" w:hAnsi="Arial" w:cs="Arial"/>
                <w:color w:val="000000"/>
                <w:position w:val="-2"/>
                <w:sz w:val="18"/>
                <w:szCs w:val="18"/>
              </w:rPr>
              <w:t>8,0</w:t>
            </w:r>
          </w:p>
        </w:tc>
      </w:tr>
    </w:tbl>
    <w:p w:rsidR="00EE40EE" w:rsidRDefault="00EE40EE" w:rsidP="00EE40EE">
      <w:pPr>
        <w:tabs>
          <w:tab w:val="left" w:pos="426"/>
        </w:tabs>
        <w:spacing w:after="0" w:line="240" w:lineRule="auto"/>
        <w:contextualSpacing/>
        <w:jc w:val="both"/>
        <w:textAlignment w:val="center"/>
        <w:rPr>
          <w:rFonts w:ascii="Arial" w:eastAsiaTheme="minorHAnsi" w:hAnsi="Arial" w:cs="Arial"/>
          <w:color w:val="000000"/>
          <w:position w:val="-2"/>
          <w:sz w:val="18"/>
          <w:szCs w:val="18"/>
        </w:rPr>
      </w:pP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p>
    <w:p w:rsidR="00EE40EE" w:rsidRPr="00113793" w:rsidRDefault="00EE40EE" w:rsidP="00EE40EE">
      <w:pPr>
        <w:numPr>
          <w:ilvl w:val="0"/>
          <w:numId w:val="1"/>
        </w:numPr>
        <w:tabs>
          <w:tab w:val="left" w:pos="426"/>
        </w:tabs>
        <w:spacing w:after="0" w:line="240" w:lineRule="auto"/>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Papir, uporabljen pri izdelavi mavčnih plošč, mora biti:</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100-odstotno reciklirani les/papir ali</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vertAlign w:val="superscript"/>
        </w:rPr>
      </w:pPr>
      <w:r w:rsidRPr="00113793">
        <w:rPr>
          <w:rFonts w:ascii="Arial" w:eastAsiaTheme="minorHAnsi" w:hAnsi="Arial" w:cs="Arial"/>
          <w:color w:val="000000"/>
          <w:position w:val="-2"/>
          <w:sz w:val="18"/>
          <w:szCs w:val="18"/>
        </w:rPr>
        <w:t>– papir, izdelan iz lesa, lesnih vlaken ali lesnih odrezkov, ki izviraj</w:t>
      </w:r>
      <w:r>
        <w:rPr>
          <w:rFonts w:ascii="Arial" w:eastAsiaTheme="minorHAnsi" w:hAnsi="Arial" w:cs="Arial"/>
          <w:color w:val="000000"/>
          <w:position w:val="-2"/>
          <w:sz w:val="18"/>
          <w:szCs w:val="18"/>
        </w:rPr>
        <w:t>o iz zakonito posekanih gozdov.</w:t>
      </w:r>
      <w:r>
        <w:rPr>
          <w:rFonts w:ascii="Arial" w:eastAsiaTheme="minorHAnsi" w:hAnsi="Arial" w:cs="Arial"/>
          <w:color w:val="000000"/>
          <w:position w:val="-2"/>
          <w:sz w:val="18"/>
          <w:szCs w:val="18"/>
          <w:vertAlign w:val="superscript"/>
        </w:rPr>
        <w:t>1</w:t>
      </w:r>
    </w:p>
    <w:p w:rsidR="00EE40EE"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p>
    <w:p w:rsidR="00EE40EE" w:rsidRPr="00113793" w:rsidRDefault="00EE40EE" w:rsidP="00EE40EE">
      <w:pPr>
        <w:tabs>
          <w:tab w:val="left" w:pos="426"/>
        </w:tabs>
        <w:spacing w:after="0" w:line="240" w:lineRule="auto"/>
        <w:jc w:val="both"/>
        <w:textAlignment w:val="center"/>
        <w:rPr>
          <w:rFonts w:ascii="Arial" w:eastAsiaTheme="minorHAnsi" w:hAnsi="Arial" w:cs="Arial"/>
          <w:i/>
          <w:color w:val="000000"/>
          <w:position w:val="-2"/>
          <w:sz w:val="18"/>
          <w:szCs w:val="18"/>
        </w:rPr>
      </w:pPr>
    </w:p>
    <w:p w:rsidR="00EE40EE" w:rsidRPr="00113793" w:rsidRDefault="00EE40EE" w:rsidP="00EE40EE">
      <w:pPr>
        <w:numPr>
          <w:ilvl w:val="0"/>
          <w:numId w:val="1"/>
        </w:numPr>
        <w:tabs>
          <w:tab w:val="left" w:pos="426"/>
        </w:tabs>
        <w:spacing w:after="0" w:line="240" w:lineRule="auto"/>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Mavčne plošče kot končni proizvod ne vsebujejo nobene kemikalije, ki je razvrščena</w:t>
      </w:r>
      <w:r>
        <w:rPr>
          <w:rFonts w:ascii="Arial" w:eastAsiaTheme="minorHAnsi" w:hAnsi="Arial" w:cs="Arial"/>
          <w:color w:val="000000"/>
          <w:position w:val="-2"/>
          <w:sz w:val="18"/>
          <w:szCs w:val="18"/>
        </w:rPr>
        <w:t xml:space="preserve"> kot:</w:t>
      </w:r>
      <w:r>
        <w:rPr>
          <w:rFonts w:ascii="Arial" w:eastAsiaTheme="minorHAnsi" w:hAnsi="Arial" w:cs="Arial"/>
          <w:color w:val="000000"/>
          <w:position w:val="-2"/>
          <w:sz w:val="18"/>
          <w:szCs w:val="18"/>
          <w:vertAlign w:val="superscript"/>
        </w:rPr>
        <w:t>2</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rakotvorna (kategorije 1A, 1B in 2: H350, H350i, H351);</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mutagena za zarodne celice (kategorije 1A, 1B in 2: H340 in H341);</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strupena za razmnoževanje (kategorije 1A, 1B in 2: H361, H360, H360F, H360D, H361f, H361d, H360FD, H361fd, H360Fd in H360Df); ali vpliva na dojenje (H362),</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akutno strupena (kategorije 1, 2 in 3: H330, H331, H311, H301, H310, H300),</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kronično strupena za vodno okolje (kategorije 1, 2 in 3: H410, H411 in H412).</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Iz končnega izdelka se v običajnih pogojih uporabe ne bodo sproščale ali lužile kakršne koli snovi ali zmesi, ki so razvrščene kot: rakotvorne (kategorije 1A, 1B in 2: H350, H350i, H351);</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mutagene za zarodne celice (kategorije 1A, 1B in 2: H340 in H341);</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strupene za razmnoževanje (kategorije 1A, 1B in 2: H361, H360, H360F, H360D, H361f, H361d, H360FD, H361fd, H360Fd in H360Df); ali vplivajo na dojenje (H362);</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akutno strupene (kategorije 1, 2 in 3: H330, H331, H311, H301, H310, H300);</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 kronično strupene za vodno okolje (kategorije 1, 2 in 3: H410, H411 in H412).</w:t>
      </w:r>
    </w:p>
    <w:p w:rsidR="00EE40EE" w:rsidRPr="00113793" w:rsidRDefault="00EE40EE" w:rsidP="00EE40EE">
      <w:pPr>
        <w:tabs>
          <w:tab w:val="left" w:pos="426"/>
        </w:tabs>
        <w:spacing w:after="0" w:line="240" w:lineRule="auto"/>
        <w:ind w:left="720"/>
        <w:contextualSpacing/>
        <w:jc w:val="both"/>
        <w:textAlignment w:val="center"/>
        <w:rPr>
          <w:rFonts w:ascii="Arial" w:eastAsiaTheme="minorHAnsi" w:hAnsi="Arial" w:cs="Arial"/>
          <w:i/>
          <w:color w:val="000000"/>
          <w:position w:val="-2"/>
          <w:sz w:val="18"/>
          <w:szCs w:val="18"/>
        </w:rPr>
      </w:pPr>
    </w:p>
    <w:p w:rsidR="00EE40EE" w:rsidRDefault="00EE40EE" w:rsidP="00EE40EE">
      <w:pPr>
        <w:numPr>
          <w:ilvl w:val="0"/>
          <w:numId w:val="1"/>
        </w:numPr>
        <w:tabs>
          <w:tab w:val="left" w:pos="426"/>
        </w:tabs>
        <w:spacing w:after="0" w:line="240" w:lineRule="auto"/>
        <w:contextualSpacing/>
        <w:jc w:val="both"/>
        <w:textAlignment w:val="center"/>
        <w:rPr>
          <w:rFonts w:ascii="Arial" w:eastAsiaTheme="minorHAnsi" w:hAnsi="Arial" w:cs="Arial"/>
          <w:color w:val="000000"/>
          <w:position w:val="-2"/>
          <w:sz w:val="18"/>
          <w:szCs w:val="18"/>
        </w:rPr>
      </w:pPr>
      <w:r w:rsidRPr="00113793">
        <w:rPr>
          <w:rFonts w:ascii="Arial" w:eastAsiaTheme="minorHAnsi" w:hAnsi="Arial" w:cs="Arial"/>
          <w:color w:val="000000"/>
          <w:position w:val="-2"/>
          <w:sz w:val="18"/>
          <w:szCs w:val="18"/>
        </w:rPr>
        <w:t>Mavčne plošče se ne smejo impregnirati, označevati, premazati ali drugače obdelati na način, ki bi preprečil recikliranje ali kompostiranje v Evropi.</w:t>
      </w:r>
      <w:r w:rsidRPr="00BA762C">
        <w:rPr>
          <w:rFonts w:ascii="Arial" w:eastAsiaTheme="minorHAnsi" w:hAnsi="Arial" w:cs="Arial"/>
          <w:color w:val="000000"/>
          <w:position w:val="-2"/>
          <w:sz w:val="18"/>
          <w:szCs w:val="18"/>
        </w:rPr>
        <w:t xml:space="preserve"> </w:t>
      </w:r>
    </w:p>
    <w:p w:rsidR="00EE40EE" w:rsidRPr="00BA762C" w:rsidRDefault="00EE40EE" w:rsidP="00EE40EE">
      <w:pPr>
        <w:tabs>
          <w:tab w:val="left" w:pos="426"/>
        </w:tabs>
        <w:spacing w:after="0" w:line="240" w:lineRule="auto"/>
        <w:ind w:left="720"/>
        <w:contextualSpacing/>
        <w:jc w:val="both"/>
        <w:textAlignment w:val="center"/>
        <w:rPr>
          <w:rFonts w:ascii="Arial" w:eastAsiaTheme="minorHAnsi" w:hAnsi="Arial" w:cs="Arial"/>
          <w:color w:val="000000"/>
          <w:position w:val="-2"/>
          <w:sz w:val="18"/>
          <w:szCs w:val="18"/>
        </w:rPr>
      </w:pPr>
    </w:p>
    <w:p w:rsidR="00EE40EE" w:rsidRPr="00BA762C" w:rsidRDefault="00EE40EE" w:rsidP="00EE40EE">
      <w:pPr>
        <w:spacing w:after="120"/>
        <w:rPr>
          <w:rFonts w:ascii="Arial" w:eastAsiaTheme="minorHAnsi" w:hAnsi="Arial" w:cs="Arial"/>
          <w:b/>
        </w:rPr>
      </w:pPr>
    </w:p>
    <w:p w:rsidR="00EE40EE" w:rsidRPr="00113793" w:rsidRDefault="00EE40EE" w:rsidP="00EE40EE">
      <w:pPr>
        <w:tabs>
          <w:tab w:val="left" w:pos="426"/>
        </w:tabs>
        <w:spacing w:after="0" w:line="240" w:lineRule="auto"/>
        <w:contextualSpacing/>
        <w:jc w:val="both"/>
        <w:textAlignment w:val="center"/>
        <w:rPr>
          <w:rFonts w:ascii="Arial" w:eastAsiaTheme="minorHAnsi" w:hAnsi="Arial" w:cs="Arial"/>
          <w:i/>
          <w:color w:val="000000"/>
          <w:position w:val="-2"/>
          <w:sz w:val="18"/>
          <w:szCs w:val="18"/>
        </w:rPr>
      </w:pPr>
      <w:r>
        <w:rPr>
          <w:rFonts w:ascii="Arial" w:eastAsiaTheme="minorHAnsi" w:hAnsi="Arial" w:cs="Arial"/>
          <w:i/>
          <w:color w:val="000000"/>
          <w:position w:val="-2"/>
          <w:sz w:val="18"/>
          <w:szCs w:val="18"/>
          <w:vertAlign w:val="superscript"/>
        </w:rPr>
        <w:t>1</w:t>
      </w:r>
      <w:r w:rsidRPr="00113793">
        <w:rPr>
          <w:rFonts w:ascii="Arial" w:eastAsiaTheme="minorHAnsi" w:hAnsi="Arial" w:cs="Arial"/>
          <w:i/>
          <w:color w:val="000000"/>
          <w:position w:val="-2"/>
          <w:sz w:val="18"/>
          <w:szCs w:val="18"/>
        </w:rPr>
        <w:t xml:space="preserve"> Zakonit izvor gradbenega lesa/lesnih vlaken se lahko dokaže z veljavnim sistemom sledenja v proizvodni verigi. Te prostovoljne sisteme lahko certificira tretja oseba, in sicer pogosto kot del standarda ISO 9000 in/ali ISO 14000 ali sistema upravljanja EMAS. Dokazi sledljivosti v proizvodni verigi gradbenega lesa/lesnih vlaken, certificiranih po standardu FSC ali PEFC, ali kateri koli drug način dokazovanja se prav tako sprejmejo kot dokazilo o skladnosti. Če gradbeni les/lesna vlakna izhajajo iz države, ki je podpisala prostovoljni sporazum o partnerstvu z EU, se lahko kot dokazilo o zakonitosti uporabi dovoljenje FLEGT. Druga dokazila, ki se bodo sprejela, vključujejo ustrezno in veljavno spričevalo CITES ali druga enakovredna in preverljiva sredstva, kot je uporaba sistema »skrbnega pregleda2. Za necertificiran neobdelan material ponudniki navedejo tip (vrsto), količino in izvor gradbenega lesa/lesnih vlaken skupaj z izjavo o njihovi zakonitosti. Tako lahko gradbenemu lesu oziroma lesnim vlaknom sledijo po celotni proizvodni verigi od gozda do izdelka.</w:t>
      </w:r>
    </w:p>
    <w:p w:rsidR="00EE40EE" w:rsidRPr="00113793" w:rsidRDefault="00EE40EE" w:rsidP="00EE40EE">
      <w:pPr>
        <w:tabs>
          <w:tab w:val="left" w:pos="426"/>
        </w:tabs>
        <w:spacing w:after="0" w:line="240" w:lineRule="auto"/>
        <w:contextualSpacing/>
        <w:jc w:val="both"/>
        <w:textAlignment w:val="center"/>
        <w:rPr>
          <w:rFonts w:ascii="Arial" w:eastAsiaTheme="minorHAnsi" w:hAnsi="Arial" w:cs="Arial"/>
          <w:color w:val="000000"/>
          <w:position w:val="-2"/>
          <w:sz w:val="18"/>
          <w:szCs w:val="18"/>
        </w:rPr>
      </w:pPr>
    </w:p>
    <w:p w:rsidR="00EE40EE" w:rsidRDefault="00EE40EE" w:rsidP="00EE40EE">
      <w:pPr>
        <w:tabs>
          <w:tab w:val="left" w:pos="426"/>
        </w:tabs>
        <w:spacing w:after="0" w:line="240" w:lineRule="auto"/>
        <w:contextualSpacing/>
        <w:jc w:val="both"/>
        <w:textAlignment w:val="center"/>
        <w:rPr>
          <w:rFonts w:ascii="Arial" w:eastAsiaTheme="minorHAnsi" w:hAnsi="Arial" w:cs="Arial"/>
          <w:i/>
          <w:color w:val="000000"/>
          <w:position w:val="-2"/>
          <w:sz w:val="18"/>
          <w:szCs w:val="18"/>
        </w:rPr>
      </w:pPr>
      <w:r>
        <w:rPr>
          <w:rFonts w:ascii="Arial" w:eastAsiaTheme="minorHAnsi" w:hAnsi="Arial" w:cs="Arial"/>
          <w:i/>
          <w:color w:val="000000"/>
          <w:position w:val="-2"/>
          <w:sz w:val="18"/>
          <w:szCs w:val="18"/>
          <w:vertAlign w:val="superscript"/>
        </w:rPr>
        <w:t>2</w:t>
      </w:r>
      <w:r w:rsidRPr="00113793">
        <w:rPr>
          <w:rFonts w:ascii="Arial" w:eastAsiaTheme="minorHAnsi" w:hAnsi="Arial" w:cs="Arial"/>
          <w:i/>
          <w:color w:val="000000"/>
          <w:position w:val="-2"/>
          <w:sz w:val="18"/>
          <w:szCs w:val="18"/>
        </w:rPr>
        <w:t xml:space="preserve"> V Uredbi (ES) št. 1272/2008, s katero se spreminjata in razveljavljata direktivi 67/548/EGS in 1999/45/ES in s katero se spreminja Uredba (ES) št. 1907/2006, so navedeni naslednji stavki o nevarnosti, ki so povezani z zgornjimi standardnimi opozorili.</w:t>
      </w:r>
    </w:p>
    <w:p w:rsidR="00393F90" w:rsidRDefault="00393F90" w:rsidP="00393F90">
      <w:pPr>
        <w:tabs>
          <w:tab w:val="left" w:pos="426"/>
        </w:tabs>
        <w:spacing w:after="0" w:line="240" w:lineRule="auto"/>
        <w:contextualSpacing/>
        <w:jc w:val="both"/>
        <w:textAlignment w:val="center"/>
        <w:rPr>
          <w:rFonts w:ascii="Arial" w:eastAsiaTheme="minorHAnsi" w:hAnsi="Arial" w:cs="Arial"/>
          <w:i/>
          <w:color w:val="000000"/>
          <w:position w:val="-2"/>
          <w:sz w:val="18"/>
          <w:szCs w:val="18"/>
        </w:rPr>
      </w:pPr>
    </w:p>
    <w:p w:rsidR="00393F90" w:rsidRDefault="00393F90" w:rsidP="00393F90">
      <w:pPr>
        <w:tabs>
          <w:tab w:val="left" w:pos="426"/>
        </w:tabs>
        <w:spacing w:after="0" w:line="240" w:lineRule="auto"/>
        <w:contextualSpacing/>
        <w:jc w:val="both"/>
        <w:textAlignment w:val="center"/>
        <w:rPr>
          <w:rFonts w:ascii="Arial" w:eastAsiaTheme="minorHAnsi" w:hAnsi="Arial" w:cs="Arial"/>
          <w:i/>
          <w:color w:val="000000"/>
          <w:position w:val="-2"/>
          <w:sz w:val="18"/>
          <w:szCs w:val="18"/>
        </w:rPr>
      </w:pPr>
    </w:p>
    <w:p w:rsidR="00BA762C" w:rsidRPr="00BA762C" w:rsidRDefault="00BA762C" w:rsidP="00BA762C">
      <w:pPr>
        <w:spacing w:after="120"/>
        <w:rPr>
          <w:rFonts w:ascii="Arial" w:eastAsiaTheme="minorHAnsi" w:hAnsi="Arial" w:cs="Arial"/>
          <w:b/>
        </w:rPr>
      </w:pPr>
    </w:p>
    <w:tbl>
      <w:tblPr>
        <w:tblStyle w:val="NormalTablePHPDOCX"/>
        <w:tblW w:w="5000" w:type="pct"/>
        <w:tblLook w:val="04A0" w:firstRow="1" w:lastRow="0" w:firstColumn="1" w:lastColumn="0" w:noHBand="0" w:noVBand="1"/>
      </w:tblPr>
      <w:tblGrid>
        <w:gridCol w:w="4536"/>
        <w:gridCol w:w="4536"/>
      </w:tblGrid>
      <w:tr w:rsidR="00BA762C" w:rsidRPr="00BA762C" w:rsidTr="00761475">
        <w:tc>
          <w:tcPr>
            <w:tcW w:w="2500" w:type="pct"/>
            <w:tcMar>
              <w:top w:w="75" w:type="dxa"/>
              <w:bottom w:w="75" w:type="dxa"/>
            </w:tcMar>
            <w:vAlign w:val="center"/>
          </w:tcPr>
          <w:p w:rsidR="00BA762C" w:rsidRPr="00BA762C" w:rsidRDefault="00BA762C" w:rsidP="00BA762C">
            <w:pPr>
              <w:rPr>
                <w:rFonts w:ascii="Arial" w:hAnsi="Arial" w:cs="Arial"/>
              </w:rPr>
            </w:pPr>
            <w:r w:rsidRPr="00BA762C">
              <w:rPr>
                <w:rFonts w:ascii="Arial" w:hAnsi="Arial" w:cs="Arial"/>
                <w:color w:val="000000"/>
                <w:position w:val="-2"/>
                <w:sz w:val="18"/>
                <w:szCs w:val="18"/>
              </w:rPr>
              <w:t>Kraj in datum:</w:t>
            </w:r>
          </w:p>
        </w:tc>
        <w:tc>
          <w:tcPr>
            <w:tcW w:w="0" w:type="auto"/>
            <w:tcMar>
              <w:top w:w="75" w:type="dxa"/>
              <w:bottom w:w="75" w:type="dxa"/>
            </w:tcMar>
            <w:vAlign w:val="center"/>
          </w:tcPr>
          <w:p w:rsidR="00BA762C" w:rsidRPr="00BA762C" w:rsidRDefault="00BA762C" w:rsidP="00BA762C">
            <w:pPr>
              <w:rPr>
                <w:rFonts w:ascii="Arial" w:hAnsi="Arial" w:cs="Arial"/>
              </w:rPr>
            </w:pPr>
            <w:r w:rsidRPr="00BA762C">
              <w:rPr>
                <w:rFonts w:ascii="Arial" w:hAnsi="Arial" w:cs="Arial"/>
                <w:color w:val="000000"/>
                <w:position w:val="-2"/>
                <w:sz w:val="18"/>
                <w:szCs w:val="18"/>
              </w:rPr>
              <w:t>Naziv:____________________________________</w:t>
            </w:r>
          </w:p>
        </w:tc>
      </w:tr>
      <w:tr w:rsidR="00BA762C" w:rsidRPr="00BA762C" w:rsidTr="00761475">
        <w:tc>
          <w:tcPr>
            <w:tcW w:w="2500" w:type="pct"/>
            <w:tcMar>
              <w:top w:w="75" w:type="dxa"/>
              <w:bottom w:w="75" w:type="dxa"/>
            </w:tcMar>
            <w:vAlign w:val="center"/>
          </w:tcPr>
          <w:p w:rsidR="00BA762C" w:rsidRPr="00BA762C" w:rsidRDefault="00BA762C" w:rsidP="00BA762C">
            <w:pPr>
              <w:jc w:val="right"/>
              <w:rPr>
                <w:rFonts w:ascii="Arial" w:hAnsi="Arial" w:cs="Arial"/>
              </w:rPr>
            </w:pPr>
            <w:r w:rsidRPr="00BA762C">
              <w:rPr>
                <w:rFonts w:ascii="Arial" w:hAnsi="Arial" w:cs="Arial"/>
                <w:color w:val="A9A9A9"/>
                <w:position w:val="-2"/>
                <w:sz w:val="18"/>
                <w:szCs w:val="18"/>
              </w:rPr>
              <w:t>(žig)</w:t>
            </w:r>
          </w:p>
        </w:tc>
        <w:tc>
          <w:tcPr>
            <w:tcW w:w="0" w:type="auto"/>
            <w:tcMar>
              <w:top w:w="75" w:type="dxa"/>
              <w:bottom w:w="75" w:type="dxa"/>
            </w:tcMar>
            <w:vAlign w:val="center"/>
          </w:tcPr>
          <w:p w:rsidR="00BA762C" w:rsidRPr="00BA762C" w:rsidRDefault="00BA762C" w:rsidP="00BA762C">
            <w:pPr>
              <w:rPr>
                <w:rFonts w:ascii="Arial" w:hAnsi="Arial" w:cs="Arial"/>
              </w:rPr>
            </w:pPr>
            <w:r w:rsidRPr="00BA762C">
              <w:rPr>
                <w:rFonts w:ascii="Arial" w:hAnsi="Arial" w:cs="Arial"/>
                <w:color w:val="FFFFFF" w:themeColor="background1"/>
              </w:rPr>
              <w:t>____</w:t>
            </w:r>
            <w:r w:rsidRPr="00BA762C">
              <w:rPr>
                <w:rFonts w:ascii="Arial" w:hAnsi="Arial" w:cs="Arial"/>
                <w:color w:val="000000"/>
                <w:position w:val="-2"/>
                <w:sz w:val="18"/>
                <w:szCs w:val="18"/>
              </w:rPr>
              <w:t>____________________________________</w:t>
            </w:r>
          </w:p>
          <w:p w:rsidR="00BA762C" w:rsidRPr="00BA762C" w:rsidRDefault="00BA762C" w:rsidP="00BA762C">
            <w:pPr>
              <w:jc w:val="center"/>
              <w:rPr>
                <w:rFonts w:ascii="Arial" w:hAnsi="Arial" w:cs="Arial"/>
              </w:rPr>
            </w:pPr>
            <w:r w:rsidRPr="00BA762C">
              <w:rPr>
                <w:rFonts w:ascii="Arial" w:hAnsi="Arial" w:cs="Arial"/>
                <w:color w:val="A9A9A9"/>
                <w:position w:val="-2"/>
                <w:sz w:val="18"/>
                <w:szCs w:val="18"/>
              </w:rPr>
              <w:t>(Ime in priimek ter podpis)</w:t>
            </w:r>
          </w:p>
        </w:tc>
      </w:tr>
    </w:tbl>
    <w:p w:rsidR="00113793" w:rsidRDefault="00BA762C" w:rsidP="00BA762C">
      <w:pPr>
        <w:ind w:right="-2"/>
        <w:jc w:val="both"/>
        <w:rPr>
          <w:rFonts w:ascii="Arial" w:eastAsiaTheme="minorHAnsi" w:hAnsi="Arial" w:cs="Arial"/>
          <w:i/>
          <w:sz w:val="18"/>
          <w:szCs w:val="18"/>
        </w:rPr>
      </w:pPr>
      <w:r w:rsidRPr="00BA762C">
        <w:rPr>
          <w:rFonts w:ascii="Arial" w:eastAsiaTheme="minorHAnsi" w:hAnsi="Arial" w:cs="Arial"/>
          <w:i/>
          <w:sz w:val="18"/>
          <w:szCs w:val="18"/>
        </w:rPr>
        <w:t xml:space="preserve">Opomba: Obrazec izpolnijo ponudnik, v primeru skupne ponudbe pa vsi ponudniki. </w:t>
      </w:r>
    </w:p>
    <w:p w:rsidR="00F63D2E" w:rsidRDefault="00F63D2E"/>
    <w:sectPr w:rsidR="00F63D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260877"/>
    <w:multiLevelType w:val="hybridMultilevel"/>
    <w:tmpl w:val="AB30D398"/>
    <w:lvl w:ilvl="0" w:tplc="D56C1708">
      <w:start w:val="1"/>
      <w:numFmt w:val="decimal"/>
      <w:lvlText w:val="%1."/>
      <w:lvlJc w:val="left"/>
      <w:pPr>
        <w:ind w:left="720" w:hanging="360"/>
      </w:pPr>
      <w:rPr>
        <w:rFonts w:hint="default"/>
        <w:sz w:val="18"/>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62C"/>
    <w:rsid w:val="00015CFB"/>
    <w:rsid w:val="00026E10"/>
    <w:rsid w:val="000E2783"/>
    <w:rsid w:val="00113793"/>
    <w:rsid w:val="00125B34"/>
    <w:rsid w:val="00393F90"/>
    <w:rsid w:val="00464953"/>
    <w:rsid w:val="00523155"/>
    <w:rsid w:val="00595CB9"/>
    <w:rsid w:val="005C1086"/>
    <w:rsid w:val="0062045B"/>
    <w:rsid w:val="00687436"/>
    <w:rsid w:val="006B7084"/>
    <w:rsid w:val="008505DE"/>
    <w:rsid w:val="00961FC1"/>
    <w:rsid w:val="00A75A1D"/>
    <w:rsid w:val="00AD4A03"/>
    <w:rsid w:val="00BA762C"/>
    <w:rsid w:val="00C46B0B"/>
    <w:rsid w:val="00D3762C"/>
    <w:rsid w:val="00E341A6"/>
    <w:rsid w:val="00E56DB0"/>
    <w:rsid w:val="00EE40EE"/>
    <w:rsid w:val="00F63D2E"/>
    <w:rsid w:val="00FD6D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2B6BD"/>
  <w15:docId w15:val="{ACC3B45A-268E-4A61-8E9D-B5D909C6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61FC1"/>
    <w:pPr>
      <w:spacing w:after="200" w:line="276" w:lineRule="auto"/>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hAnsi="Arial"/>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hAnsi="Arial"/>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style>
  <w:style w:type="table" w:customStyle="1" w:styleId="NormalTablePHPDOCX">
    <w:name w:val="Normal Table PHPDOCX"/>
    <w:uiPriority w:val="99"/>
    <w:semiHidden/>
    <w:unhideWhenUsed/>
    <w:qFormat/>
    <w:rsid w:val="00BA762C"/>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table" w:styleId="Tabelamrea">
    <w:name w:val="Table Grid"/>
    <w:basedOn w:val="Navadnatabela"/>
    <w:rsid w:val="00BA762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68743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874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702</Words>
  <Characters>4004</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Dervišević Elma</cp:lastModifiedBy>
  <cp:revision>5</cp:revision>
  <cp:lastPrinted>2020-06-22T09:48:00Z</cp:lastPrinted>
  <dcterms:created xsi:type="dcterms:W3CDTF">2020-06-19T12:57:00Z</dcterms:created>
  <dcterms:modified xsi:type="dcterms:W3CDTF">2021-03-16T10:35:00Z</dcterms:modified>
</cp:coreProperties>
</file>